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D1" w:rsidRPr="006F100F" w:rsidRDefault="00657BD1" w:rsidP="0055246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00F">
        <w:rPr>
          <w:rFonts w:ascii="Times New Roman" w:hAnsi="Times New Roman" w:cs="Times New Roman"/>
          <w:color w:val="000000" w:themeColor="text1"/>
          <w:sz w:val="28"/>
          <w:szCs w:val="28"/>
        </w:rPr>
        <w:t>ИТОГИ НОК УООД – 2019</w:t>
      </w:r>
    </w:p>
    <w:p w:rsidR="004B5E5C" w:rsidRPr="004B5E5C" w:rsidRDefault="0055246E" w:rsidP="004B5E5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</w:pPr>
      <w:r w:rsidRPr="0055246E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 xml:space="preserve">В Свердловской области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 xml:space="preserve">в 2019 году прошла </w:t>
      </w:r>
      <w:r w:rsidRPr="0055246E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>независимая оценка качества оказания услуг дошкольными образовательными учреждениями. На основе мнения родителей б</w:t>
      </w:r>
      <w:r w:rsidR="004B5E5C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>ыли</w:t>
      </w:r>
      <w:r w:rsidRPr="0055246E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 xml:space="preserve"> составлены рейтинги учреждений, а по результатам оценки приняты меры по улучшению качества работы учреждений. </w:t>
      </w:r>
      <w:r w:rsidR="004B5E5C" w:rsidRPr="004B5E5C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>Оценивались 11</w:t>
      </w:r>
      <w:r w:rsidR="00D10389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>90</w:t>
      </w:r>
      <w:r w:rsidR="004B5E5C" w:rsidRPr="004B5E5C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 xml:space="preserve"> </w:t>
      </w:r>
      <w:r w:rsidR="00D10389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>образовательных</w:t>
      </w:r>
      <w:r w:rsidR="004B5E5C" w:rsidRPr="004B5E5C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 xml:space="preserve"> учрежден</w:t>
      </w:r>
      <w:r w:rsidR="004B5E5C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>и</w:t>
      </w:r>
      <w:r w:rsidR="00D10389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>й</w:t>
      </w:r>
      <w:r w:rsidR="004B5E5C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 xml:space="preserve"> Свердловской области, из них 22 </w:t>
      </w:r>
      <w:r w:rsidR="00D10389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 xml:space="preserve">дошкольных образовательных учреждений </w:t>
      </w:r>
      <w:r w:rsidR="004B5E5C">
        <w:rPr>
          <w:rFonts w:ascii="Times New Roman" w:eastAsia="Times New Roman" w:hAnsi="Times New Roman" w:cs="Times New Roman"/>
          <w:bCs/>
          <w:color w:val="202020"/>
          <w:sz w:val="28"/>
          <w:szCs w:val="28"/>
        </w:rPr>
        <w:t>Верхнесалдинского городского округа.</w:t>
      </w:r>
    </w:p>
    <w:p w:rsidR="00CD47F3" w:rsidRDefault="00CD47F3" w:rsidP="005524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оценки качества оказания услуг дошкольными организациями по поручению министерства образования и молодежной политики Свердловской области независимой исследовательской компанией «АС-Холдинг» </w:t>
      </w:r>
      <w:r w:rsidR="0055246E" w:rsidRPr="0055246E">
        <w:rPr>
          <w:rFonts w:ascii="Times New Roman" w:hAnsi="Times New Roman" w:cs="Times New Roman"/>
          <w:color w:val="000000" w:themeColor="text1"/>
          <w:sz w:val="28"/>
          <w:szCs w:val="28"/>
        </w:rPr>
        <w:t>был</w:t>
      </w:r>
      <w:r w:rsidR="00552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2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запущен опрос. Его участникам нужно </w:t>
      </w:r>
      <w:r w:rsidR="0055246E" w:rsidRPr="00552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Pr="0055246E">
        <w:rPr>
          <w:rFonts w:ascii="Times New Roman" w:hAnsi="Times New Roman" w:cs="Times New Roman"/>
          <w:color w:val="000000" w:themeColor="text1"/>
          <w:sz w:val="28"/>
          <w:szCs w:val="28"/>
        </w:rPr>
        <w:t>ответить всего на 15 вопросов, касающихся открытости и доступности информации о дошкольном учреждении на общедоступных ресурсах (официальный сайт), комфортности условий оказания услуг, доброжелательности и вежливости сотрудников учреждения, условиям доступности для инвалидов и общей удовлетворенности качеством оказания услуг.</w:t>
      </w:r>
    </w:p>
    <w:p w:rsidR="000C2DC3" w:rsidRDefault="000C2DC3" w:rsidP="000C2D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Нормативно-правовая база для проведения НОК УООД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29 декабря 2012 года № 273-ФЗ «Об образовании в Российской Федерации»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5 декабря 2017 г. № 392-ФЗ «О внесении изменений в отдельные законодательные акты Российской Федерации по вопросам </w:t>
      </w:r>
      <w:proofErr w:type="gramStart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совершенствования проведения независимой оценки качества условий оказания услуг</w:t>
      </w:r>
      <w:proofErr w:type="gramEnd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10 июля 2013 года № 582 «О правилах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 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31 мая 2018 года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медико-социальной</w:t>
      </w:r>
      <w:proofErr w:type="gramEnd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экспертизы»;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Минфина России от 07.05.2019 № 66н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включая единые требования к такой </w:t>
      </w: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информации, и порядке ее</w:t>
      </w:r>
      <w:proofErr w:type="gramEnd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размещения, а также </w:t>
      </w:r>
      <w:proofErr w:type="gramStart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требованиях</w:t>
      </w:r>
      <w:proofErr w:type="gramEnd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качеству, удобству и простоте поиска указанной информации»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труда и социальной защиты Российской Федерации от 31 мая 2018 г. № 344н (зарегистрирован в Минюсте России от 11 октября 2018 г. № 52409)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proofErr w:type="gramEnd"/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Министерства труда и социальной защиты Российской Федерации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медико-социальной</w:t>
      </w:r>
      <w:proofErr w:type="gramEnd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экспертизы»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Министерства просвещения Российской Федерации от 13 марта 2019 года № 114 «Об утверждении показателей, характеризующих общие критерии </w:t>
      </w:r>
      <w:proofErr w:type="gramStart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Приказ Федеральной службы по надзору в сфере образования и науки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(Примеры)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(основная часть и приложения), в редакции от 15 августа 2019 г., подготовленными Министерством труда и социальной защиты РФ в целях реализации Федерального закона от 5 декабря 2017 г. № 392-ФЗ «О внесении изменений в</w:t>
      </w:r>
      <w:proofErr w:type="gramEnd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отдельные законодательные акты Российской Федерации по вопросам </w:t>
      </w:r>
      <w:proofErr w:type="gramStart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совершенствования проведения независимой оценки качества условий оказания услуг</w:t>
      </w:r>
      <w:proofErr w:type="gramEnd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Закон Свердловской области от 15.07.2013 №78-ОЗ «Об образовании Свердловской области»</w:t>
      </w:r>
    </w:p>
    <w:p w:rsidR="000C2DC3" w:rsidRDefault="000C2DC3" w:rsidP="000C2D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389" w:rsidRDefault="00D10389" w:rsidP="00D103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Цель НОК: и</w:t>
      </w:r>
      <w:r w:rsidRPr="00D10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нформирование участников образовательных отношений о качестве условий оказываемых </w:t>
      </w:r>
      <w:proofErr w:type="gramStart"/>
      <w:r w:rsidRPr="00D1038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proofErr w:type="gramEnd"/>
      <w:r w:rsidRPr="00D10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и уровне организации работы по реализации образовательных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F100F" w:rsidRPr="006F100F" w:rsidRDefault="006F100F" w:rsidP="006F10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00F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НОК:</w:t>
      </w:r>
    </w:p>
    <w:p w:rsidR="006F100F" w:rsidRPr="006F100F" w:rsidRDefault="006F100F" w:rsidP="006F10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1. «Открытость и доступность информации об образовательной организации» </w:t>
      </w:r>
    </w:p>
    <w:p w:rsidR="006F100F" w:rsidRPr="006F100F" w:rsidRDefault="006F100F" w:rsidP="006F10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00F">
        <w:rPr>
          <w:rFonts w:ascii="Times New Roman" w:hAnsi="Times New Roman" w:cs="Times New Roman"/>
          <w:color w:val="000000" w:themeColor="text1"/>
          <w:sz w:val="28"/>
          <w:szCs w:val="28"/>
        </w:rPr>
        <w:t>Критерий 2. «Комфортность условий предоставления услуг»</w:t>
      </w:r>
    </w:p>
    <w:p w:rsidR="006F100F" w:rsidRPr="006F100F" w:rsidRDefault="006F100F" w:rsidP="006F10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00F">
        <w:rPr>
          <w:rFonts w:ascii="Times New Roman" w:hAnsi="Times New Roman" w:cs="Times New Roman"/>
          <w:color w:val="000000" w:themeColor="text1"/>
          <w:sz w:val="28"/>
          <w:szCs w:val="28"/>
        </w:rPr>
        <w:t>Критерий 3. «Доступность услуг для инвалидов»</w:t>
      </w:r>
    </w:p>
    <w:p w:rsidR="006F100F" w:rsidRPr="006F100F" w:rsidRDefault="006F100F" w:rsidP="006F10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00F">
        <w:rPr>
          <w:rFonts w:ascii="Times New Roman" w:hAnsi="Times New Roman" w:cs="Times New Roman"/>
          <w:color w:val="000000" w:themeColor="text1"/>
          <w:sz w:val="28"/>
          <w:szCs w:val="28"/>
        </w:rPr>
        <w:t>Критерий 4. «Доброжелательность, вежливость работников образовательной организации»</w:t>
      </w:r>
    </w:p>
    <w:p w:rsidR="006F100F" w:rsidRPr="006F100F" w:rsidRDefault="006F100F" w:rsidP="006F10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00F">
        <w:rPr>
          <w:rFonts w:ascii="Times New Roman" w:hAnsi="Times New Roman" w:cs="Times New Roman"/>
          <w:color w:val="000000" w:themeColor="text1"/>
          <w:sz w:val="28"/>
          <w:szCs w:val="28"/>
        </w:rPr>
        <w:t>Критерий 5.  «Удовлетворенность условиями оказания услуг»</w:t>
      </w:r>
    </w:p>
    <w:p w:rsidR="00FD0518" w:rsidRPr="00FD0518" w:rsidRDefault="006F100F" w:rsidP="009D504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НОК УООД в </w:t>
      </w:r>
      <w:r w:rsidR="00FD0518">
        <w:rPr>
          <w:rFonts w:ascii="Times New Roman" w:hAnsi="Times New Roman" w:cs="Times New Roman"/>
          <w:color w:val="000000" w:themeColor="text1"/>
          <w:sz w:val="28"/>
          <w:szCs w:val="28"/>
        </w:rPr>
        <w:t>Свердловской области</w:t>
      </w:r>
      <w:r w:rsidR="009D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проводилась</w:t>
      </w:r>
      <w:r w:rsidRPr="006F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с 11.11.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6F100F">
        <w:rPr>
          <w:rFonts w:ascii="Times New Roman" w:hAnsi="Times New Roman" w:cs="Times New Roman"/>
          <w:color w:val="000000" w:themeColor="text1"/>
          <w:sz w:val="28"/>
          <w:szCs w:val="28"/>
        </w:rPr>
        <w:t>19 по 05.12.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6F100F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9D504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0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2849</w:t>
      </w:r>
      <w:r w:rsidRPr="006F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518" w:rsidRPr="00FD0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родителя/ законного представителя воспитанников оценили </w:t>
      </w:r>
      <w:r w:rsidR="00FD0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дошкольные </w:t>
      </w:r>
      <w:r w:rsidR="00FD0518" w:rsidRPr="00FD051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образовательные учреждения</w:t>
      </w:r>
      <w:r w:rsidR="00FD0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Верхнесалдинского городского округа.</w:t>
      </w:r>
    </w:p>
    <w:p w:rsidR="004E1848" w:rsidRDefault="009D5043" w:rsidP="004E18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043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НОК УООД 2019 МАДОУ «Детский сад № 2 «Ёлочка»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Верхнесалдинского городского округа вышел в ТОП-10 лидеров рейтинга</w:t>
      </w:r>
      <w:r w:rsidR="004E18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E1848" w:rsidRDefault="004E1848" w:rsidP="004E18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BD1" w:rsidRPr="0055246E" w:rsidRDefault="00657BD1" w:rsidP="004E18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46E">
        <w:rPr>
          <w:rFonts w:ascii="Times New Roman" w:hAnsi="Times New Roman" w:cs="Times New Roman"/>
          <w:color w:val="000000" w:themeColor="text1"/>
          <w:sz w:val="24"/>
          <w:szCs w:val="24"/>
        </w:rPr>
        <w:t>ОБЩИЙ РЕЙТИНГ. ЛИДЕРЫ РЕЙТИНГА НОК. ТОП 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428"/>
        <w:gridCol w:w="1846"/>
        <w:gridCol w:w="1131"/>
      </w:tblGrid>
      <w:tr w:rsidR="00657BD1" w:rsidRPr="0055246E" w:rsidTr="004E1848">
        <w:tc>
          <w:tcPr>
            <w:tcW w:w="2943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ГО/МО</w:t>
            </w:r>
          </w:p>
        </w:tc>
        <w:tc>
          <w:tcPr>
            <w:tcW w:w="3428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846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Итоговый балл</w:t>
            </w:r>
          </w:p>
        </w:tc>
        <w:tc>
          <w:tcPr>
            <w:tcW w:w="1131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Рейтинг</w:t>
            </w:r>
          </w:p>
        </w:tc>
      </w:tr>
      <w:tr w:rsidR="00657BD1" w:rsidRPr="0055246E" w:rsidTr="004E1848">
        <w:tc>
          <w:tcPr>
            <w:tcW w:w="2943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Карпинск</w:t>
            </w:r>
          </w:p>
        </w:tc>
        <w:tc>
          <w:tcPr>
            <w:tcW w:w="3428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№ 2</w:t>
            </w:r>
          </w:p>
        </w:tc>
        <w:tc>
          <w:tcPr>
            <w:tcW w:w="1846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99,36</w:t>
            </w:r>
          </w:p>
        </w:tc>
        <w:tc>
          <w:tcPr>
            <w:tcW w:w="1131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657BD1" w:rsidRPr="0055246E" w:rsidTr="004E1848">
        <w:tc>
          <w:tcPr>
            <w:tcW w:w="2943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Нижний Тагил</w:t>
            </w:r>
          </w:p>
        </w:tc>
        <w:tc>
          <w:tcPr>
            <w:tcW w:w="3428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д/с «Детство»</w:t>
            </w:r>
          </w:p>
        </w:tc>
        <w:tc>
          <w:tcPr>
            <w:tcW w:w="1846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98,54</w:t>
            </w:r>
          </w:p>
        </w:tc>
        <w:tc>
          <w:tcPr>
            <w:tcW w:w="1131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657BD1" w:rsidRPr="0055246E" w:rsidTr="004E1848">
        <w:tc>
          <w:tcPr>
            <w:tcW w:w="2943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Нижний Тагил</w:t>
            </w:r>
          </w:p>
        </w:tc>
        <w:tc>
          <w:tcPr>
            <w:tcW w:w="3428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«Маячок»</w:t>
            </w:r>
          </w:p>
        </w:tc>
        <w:tc>
          <w:tcPr>
            <w:tcW w:w="1846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98,00</w:t>
            </w:r>
          </w:p>
        </w:tc>
        <w:tc>
          <w:tcPr>
            <w:tcW w:w="1131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657BD1" w:rsidRPr="0055246E" w:rsidTr="004E1848">
        <w:tc>
          <w:tcPr>
            <w:tcW w:w="2943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Североуральский</w:t>
            </w:r>
            <w:proofErr w:type="spellEnd"/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3428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30</w:t>
            </w:r>
          </w:p>
        </w:tc>
        <w:tc>
          <w:tcPr>
            <w:tcW w:w="1846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98,00</w:t>
            </w:r>
          </w:p>
        </w:tc>
        <w:tc>
          <w:tcPr>
            <w:tcW w:w="1131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657BD1" w:rsidRPr="0055246E" w:rsidTr="004E1848">
        <w:tc>
          <w:tcPr>
            <w:tcW w:w="2943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Бисертский</w:t>
            </w:r>
            <w:proofErr w:type="spellEnd"/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3428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№ 1</w:t>
            </w:r>
          </w:p>
        </w:tc>
        <w:tc>
          <w:tcPr>
            <w:tcW w:w="1846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97,94</w:t>
            </w:r>
          </w:p>
        </w:tc>
        <w:tc>
          <w:tcPr>
            <w:tcW w:w="1131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657BD1" w:rsidRPr="0055246E" w:rsidTr="004E1848">
        <w:tc>
          <w:tcPr>
            <w:tcW w:w="2943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3428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«Капелька»</w:t>
            </w:r>
          </w:p>
        </w:tc>
        <w:tc>
          <w:tcPr>
            <w:tcW w:w="1846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97,72</w:t>
            </w:r>
          </w:p>
        </w:tc>
        <w:tc>
          <w:tcPr>
            <w:tcW w:w="1131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657BD1" w:rsidRPr="0055246E" w:rsidTr="004E1848">
        <w:tc>
          <w:tcPr>
            <w:tcW w:w="2943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.Е</w:t>
            </w:r>
            <w:proofErr w:type="gramEnd"/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катеринбург</w:t>
            </w:r>
            <w:proofErr w:type="spellEnd"/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Кировский  район</w:t>
            </w:r>
          </w:p>
        </w:tc>
        <w:tc>
          <w:tcPr>
            <w:tcW w:w="3428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 41</w:t>
            </w:r>
          </w:p>
        </w:tc>
        <w:tc>
          <w:tcPr>
            <w:tcW w:w="1846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97,52</w:t>
            </w:r>
          </w:p>
        </w:tc>
        <w:tc>
          <w:tcPr>
            <w:tcW w:w="1131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657BD1" w:rsidRPr="0055246E" w:rsidTr="004E1848">
        <w:tc>
          <w:tcPr>
            <w:tcW w:w="2943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.Е</w:t>
            </w:r>
            <w:proofErr w:type="gramEnd"/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катеринбург</w:t>
            </w:r>
            <w:proofErr w:type="spellEnd"/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Чкаловский  район</w:t>
            </w:r>
          </w:p>
        </w:tc>
        <w:tc>
          <w:tcPr>
            <w:tcW w:w="3428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410</w:t>
            </w:r>
          </w:p>
        </w:tc>
        <w:tc>
          <w:tcPr>
            <w:tcW w:w="1846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97,16</w:t>
            </w:r>
          </w:p>
        </w:tc>
        <w:tc>
          <w:tcPr>
            <w:tcW w:w="1131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657BD1" w:rsidRPr="0055246E" w:rsidTr="004E1848">
        <w:tc>
          <w:tcPr>
            <w:tcW w:w="2943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Негосударственные</w:t>
            </w:r>
          </w:p>
        </w:tc>
        <w:tc>
          <w:tcPr>
            <w:tcW w:w="3428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ДОЧУ «ЦРР «Дошколенок»</w:t>
            </w:r>
          </w:p>
        </w:tc>
        <w:tc>
          <w:tcPr>
            <w:tcW w:w="1846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97,06</w:t>
            </w:r>
          </w:p>
        </w:tc>
        <w:tc>
          <w:tcPr>
            <w:tcW w:w="1131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57BD1" w:rsidRPr="0055246E" w:rsidTr="004E1848">
        <w:tc>
          <w:tcPr>
            <w:tcW w:w="2943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Сухой Лог</w:t>
            </w:r>
          </w:p>
        </w:tc>
        <w:tc>
          <w:tcPr>
            <w:tcW w:w="3428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2</w:t>
            </w:r>
          </w:p>
        </w:tc>
        <w:tc>
          <w:tcPr>
            <w:tcW w:w="1846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96,58</w:t>
            </w:r>
          </w:p>
        </w:tc>
        <w:tc>
          <w:tcPr>
            <w:tcW w:w="1131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657BD1" w:rsidRPr="0055246E" w:rsidTr="004E1848">
        <w:tc>
          <w:tcPr>
            <w:tcW w:w="2943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Верхнесалдинский  ГО</w:t>
            </w:r>
          </w:p>
        </w:tc>
        <w:tc>
          <w:tcPr>
            <w:tcW w:w="3428" w:type="dxa"/>
          </w:tcPr>
          <w:p w:rsidR="00657BD1" w:rsidRPr="0055246E" w:rsidRDefault="00657BD1" w:rsidP="00D933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 2 «Ёлочка»</w:t>
            </w:r>
          </w:p>
        </w:tc>
        <w:tc>
          <w:tcPr>
            <w:tcW w:w="1846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96,30</w:t>
            </w:r>
          </w:p>
        </w:tc>
        <w:tc>
          <w:tcPr>
            <w:tcW w:w="1131" w:type="dxa"/>
          </w:tcPr>
          <w:p w:rsidR="00657BD1" w:rsidRPr="004E1848" w:rsidRDefault="00657BD1" w:rsidP="00D933D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657BD1" w:rsidRPr="0055246E" w:rsidRDefault="00657BD1" w:rsidP="00657BD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4EC9" w:rsidRPr="009B6D28" w:rsidRDefault="0038260B" w:rsidP="009B6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28">
        <w:rPr>
          <w:rFonts w:ascii="Times New Roman" w:hAnsi="Times New Roman" w:cs="Times New Roman"/>
          <w:sz w:val="24"/>
          <w:szCs w:val="24"/>
        </w:rPr>
        <w:t xml:space="preserve">Рейтинг дошкольных образовательных организаций Верхнесалдинского </w:t>
      </w:r>
      <w:r w:rsidR="004E1848" w:rsidRPr="009B6D28">
        <w:rPr>
          <w:rFonts w:ascii="Times New Roman" w:hAnsi="Times New Roman" w:cs="Times New Roman"/>
          <w:sz w:val="24"/>
          <w:szCs w:val="24"/>
        </w:rPr>
        <w:t>городского округа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5490"/>
        <w:gridCol w:w="1304"/>
        <w:gridCol w:w="1276"/>
        <w:gridCol w:w="1276"/>
      </w:tblGrid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431" w:rsidRPr="004E1848" w:rsidRDefault="00571431" w:rsidP="00200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571431" w:rsidRPr="004E1848" w:rsidRDefault="00571431" w:rsidP="002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1431" w:rsidRPr="004E1848" w:rsidRDefault="00571431" w:rsidP="002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 xml:space="preserve">Рейтинг по области 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 2 «Ёлочка»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 5 «Золотая рыбка»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МБДОУ № 20 «Кораблик»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52 «Рябинка»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№ 7 «Мишутка»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№ 13 «Малышок»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 19 «Чебурашка»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№ 22 «Родничок»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№ 41 «Петушок»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№ 17 «Березка»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26 «</w:t>
            </w:r>
            <w:proofErr w:type="spellStart"/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Дюймовочка</w:t>
            </w:r>
            <w:proofErr w:type="spellEnd"/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 4 «Утенок»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«Детский сад № 28 «</w:t>
            </w:r>
            <w:proofErr w:type="spellStart"/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Гусельки</w:t>
            </w:r>
            <w:proofErr w:type="spellEnd"/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№ 39 «Журавлик»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«Детский сад № 21 «Василёк»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«Детский сад № 29 «Теремок»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571431" w:rsidRPr="004E1848" w:rsidTr="004E1848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№ 1 «Солнышко»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4E1848" w:rsidRDefault="00571431" w:rsidP="0057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8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</w:tr>
    </w:tbl>
    <w:p w:rsidR="005E4963" w:rsidRDefault="005E4963" w:rsidP="005E49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6D28" w:rsidRDefault="009B6D28" w:rsidP="005E49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оценивания дошкольных организаций Верхнесалдинского городского округа</w:t>
      </w:r>
    </w:p>
    <w:p w:rsidR="000C2DC3" w:rsidRDefault="009B6D28" w:rsidP="009B6D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D28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3E122A0E" wp14:editId="59E44329">
            <wp:extent cx="6248400" cy="5629275"/>
            <wp:effectExtent l="0" t="0" r="0" b="9525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4450" cy="563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D28" w:rsidRDefault="009B6D28" w:rsidP="009B6D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D28" w:rsidRDefault="009B6D28" w:rsidP="009B6D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D28" w:rsidRPr="009B6D28" w:rsidRDefault="009B6D28" w:rsidP="009B6D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6D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Основные недостатки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ДОУ Верхнесалдинского городского округа</w:t>
      </w:r>
      <w:r w:rsidRPr="009B6D28">
        <w:rPr>
          <w:rFonts w:ascii="Times New Roman" w:hAnsi="Times New Roman" w:cs="Times New Roman"/>
          <w:color w:val="000000" w:themeColor="text1"/>
          <w:sz w:val="24"/>
          <w:szCs w:val="24"/>
        </w:rPr>
        <w:t>, указанные получателями услуг (доли рассчитаны от общего числа замечаний)</w:t>
      </w:r>
    </w:p>
    <w:p w:rsidR="009B6D28" w:rsidRDefault="009B6D28" w:rsidP="009B6D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D28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5B85C83B" wp14:editId="365F5BF9">
            <wp:extent cx="6115050" cy="90487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E4963" w:rsidRPr="005E4963" w:rsidRDefault="005E4963" w:rsidP="005E49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5E49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 итогам проведенного НОК УООД всем дошкольными образовательными учреждениями Верхнесалдинского городского округа были направлены индивидуальные рекомендации, на основании которых были разработаны планы по устранению </w:t>
      </w:r>
      <w:r w:rsidR="002C2F95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недостатков, выявленных в ходе оценки качества образования</w:t>
      </w:r>
      <w:r w:rsidRPr="005E4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2020-2021 годы. </w:t>
      </w:r>
    </w:p>
    <w:p w:rsidR="001523DB" w:rsidRPr="0055246E" w:rsidRDefault="001523DB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7C9" w:rsidRPr="0055246E" w:rsidRDefault="003447C9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447C9" w:rsidRPr="0055246E" w:rsidSect="0055246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37EB1"/>
    <w:multiLevelType w:val="hybridMultilevel"/>
    <w:tmpl w:val="52168C36"/>
    <w:lvl w:ilvl="0" w:tplc="9B6C18F2">
      <w:start w:val="1"/>
      <w:numFmt w:val="bullet"/>
      <w:lvlText w:val="◥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4C0017F6">
      <w:start w:val="1"/>
      <w:numFmt w:val="bullet"/>
      <w:lvlText w:val="◥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82186E2C" w:tentative="1">
      <w:start w:val="1"/>
      <w:numFmt w:val="bullet"/>
      <w:lvlText w:val="◥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24902008" w:tentative="1">
      <w:start w:val="1"/>
      <w:numFmt w:val="bullet"/>
      <w:lvlText w:val="◥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18049256" w:tentative="1">
      <w:start w:val="1"/>
      <w:numFmt w:val="bullet"/>
      <w:lvlText w:val="◥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65303F84" w:tentative="1">
      <w:start w:val="1"/>
      <w:numFmt w:val="bullet"/>
      <w:lvlText w:val="◥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27D2286E" w:tentative="1">
      <w:start w:val="1"/>
      <w:numFmt w:val="bullet"/>
      <w:lvlText w:val="◥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584E1AE2" w:tentative="1">
      <w:start w:val="1"/>
      <w:numFmt w:val="bullet"/>
      <w:lvlText w:val="◥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9D3A688C" w:tentative="1">
      <w:start w:val="1"/>
      <w:numFmt w:val="bullet"/>
      <w:lvlText w:val="◥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1">
    <w:nsid w:val="68862398"/>
    <w:multiLevelType w:val="hybridMultilevel"/>
    <w:tmpl w:val="58787ADE"/>
    <w:lvl w:ilvl="0" w:tplc="29284EC6">
      <w:start w:val="1"/>
      <w:numFmt w:val="bullet"/>
      <w:lvlText w:val="◥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959ACDD4">
      <w:start w:val="1"/>
      <w:numFmt w:val="bullet"/>
      <w:lvlText w:val="◥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FBE08268" w:tentative="1">
      <w:start w:val="1"/>
      <w:numFmt w:val="bullet"/>
      <w:lvlText w:val="◥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636EDF44" w:tentative="1">
      <w:start w:val="1"/>
      <w:numFmt w:val="bullet"/>
      <w:lvlText w:val="◥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CF7E9730" w:tentative="1">
      <w:start w:val="1"/>
      <w:numFmt w:val="bullet"/>
      <w:lvlText w:val="◥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964207E0" w:tentative="1">
      <w:start w:val="1"/>
      <w:numFmt w:val="bullet"/>
      <w:lvlText w:val="◥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625CFA60" w:tentative="1">
      <w:start w:val="1"/>
      <w:numFmt w:val="bullet"/>
      <w:lvlText w:val="◥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C02CF074" w:tentative="1">
      <w:start w:val="1"/>
      <w:numFmt w:val="bullet"/>
      <w:lvlText w:val="◥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5206337C" w:tentative="1">
      <w:start w:val="1"/>
      <w:numFmt w:val="bullet"/>
      <w:lvlText w:val="◥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97"/>
    <w:rsid w:val="000C2D93"/>
    <w:rsid w:val="000C2DC3"/>
    <w:rsid w:val="000E7C99"/>
    <w:rsid w:val="001523DB"/>
    <w:rsid w:val="00200AA2"/>
    <w:rsid w:val="002C2F95"/>
    <w:rsid w:val="00301F45"/>
    <w:rsid w:val="0032484A"/>
    <w:rsid w:val="003438E7"/>
    <w:rsid w:val="003447C9"/>
    <w:rsid w:val="0038260B"/>
    <w:rsid w:val="004378B0"/>
    <w:rsid w:val="004B5E5C"/>
    <w:rsid w:val="004E1848"/>
    <w:rsid w:val="0055246E"/>
    <w:rsid w:val="00571431"/>
    <w:rsid w:val="005E4963"/>
    <w:rsid w:val="00624080"/>
    <w:rsid w:val="00657BD1"/>
    <w:rsid w:val="006F100F"/>
    <w:rsid w:val="0083627E"/>
    <w:rsid w:val="008C7E97"/>
    <w:rsid w:val="00937925"/>
    <w:rsid w:val="00942F69"/>
    <w:rsid w:val="009B6D28"/>
    <w:rsid w:val="009D5043"/>
    <w:rsid w:val="00BA3D1C"/>
    <w:rsid w:val="00BE4EC9"/>
    <w:rsid w:val="00C54623"/>
    <w:rsid w:val="00CD47F3"/>
    <w:rsid w:val="00D10389"/>
    <w:rsid w:val="00D933D4"/>
    <w:rsid w:val="00DE5B8B"/>
    <w:rsid w:val="00E52A9C"/>
    <w:rsid w:val="00EF5A62"/>
    <w:rsid w:val="00F12870"/>
    <w:rsid w:val="00FD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7C9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55246E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FD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7C9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55246E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FD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914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327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095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382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311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31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784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823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172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223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396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Лист1!$A$2:$A$19</c:f>
              <c:strCache>
                <c:ptCount val="18"/>
                <c:pt idx="0">
                  <c:v>Оснащение и зонирование детских площадок</c:v>
                </c:pt>
                <c:pt idx="1">
                  <c:v>График работы</c:v>
                </c:pt>
                <c:pt idx="2">
                  <c:v>Проблемы питания</c:v>
                </c:pt>
                <c:pt idx="3">
                  <c:v>Состояние, ремонт и модернизация здания в целом и отдельных его элементов </c:v>
                </c:pt>
                <c:pt idx="4">
                  <c:v>Образовательно-развивающие программы (недостаток, оплата)</c:v>
                </c:pt>
                <c:pt idx="5">
                  <c:v>Благоустройство прилегающей территории</c:v>
                </c:pt>
                <c:pt idx="6">
                  <c:v>Кадры (нехватка, текучка)</c:v>
                </c:pt>
                <c:pt idx="7">
                  <c:v>Оснащение</c:v>
                </c:pt>
                <c:pt idx="8">
                  <c:v>Мебель</c:v>
                </c:pt>
                <c:pt idx="9">
                  <c:v>Узкопрофильные спец-ты</c:v>
                </c:pt>
                <c:pt idx="10">
                  <c:v>Охрана (видеонаблюдение, доступ В ДОО)</c:v>
                </c:pt>
                <c:pt idx="11">
                  <c:v>Парковка</c:v>
                </c:pt>
                <c:pt idx="12">
                  <c:v>Доступность питьевой воды</c:v>
                </c:pt>
                <c:pt idx="13">
                  <c:v>Медицинское обслуживание</c:v>
                </c:pt>
                <c:pt idx="14">
                  <c:v>Поборы</c:v>
                </c:pt>
                <c:pt idx="15">
                  <c:v>Туалеты (оснащение, ремонт)</c:v>
                </c:pt>
                <c:pt idx="16">
                  <c:v>Доступная среда для детей с ОВЗ</c:v>
                </c:pt>
                <c:pt idx="17">
                  <c:v>Качество работы персонала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15.6</c:v>
                </c:pt>
                <c:pt idx="1">
                  <c:v>19.55</c:v>
                </c:pt>
                <c:pt idx="2">
                  <c:v>15.2</c:v>
                </c:pt>
                <c:pt idx="3">
                  <c:v>23.6</c:v>
                </c:pt>
                <c:pt idx="4">
                  <c:v>17.149999999999999</c:v>
                </c:pt>
                <c:pt idx="5">
                  <c:v>14.4</c:v>
                </c:pt>
                <c:pt idx="6">
                  <c:v>4</c:v>
                </c:pt>
                <c:pt idx="7">
                  <c:v>11</c:v>
                </c:pt>
                <c:pt idx="8">
                  <c:v>7.14</c:v>
                </c:pt>
                <c:pt idx="9">
                  <c:v>7.4</c:v>
                </c:pt>
                <c:pt idx="10">
                  <c:v>9.09</c:v>
                </c:pt>
                <c:pt idx="11">
                  <c:v>11.9</c:v>
                </c:pt>
                <c:pt idx="12">
                  <c:v>2.6</c:v>
                </c:pt>
                <c:pt idx="13">
                  <c:v>14.5</c:v>
                </c:pt>
                <c:pt idx="14">
                  <c:v>5.8</c:v>
                </c:pt>
                <c:pt idx="15">
                  <c:v>2.6</c:v>
                </c:pt>
                <c:pt idx="16">
                  <c:v>1</c:v>
                </c:pt>
                <c:pt idx="17">
                  <c:v>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1328256"/>
        <c:axId val="285315456"/>
      </c:barChart>
      <c:catAx>
        <c:axId val="281328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5315456"/>
        <c:crosses val="autoZero"/>
        <c:auto val="1"/>
        <c:lblAlgn val="ctr"/>
        <c:lblOffset val="100"/>
        <c:noMultiLvlLbl val="0"/>
      </c:catAx>
      <c:valAx>
        <c:axId val="285315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328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17</cp:revision>
  <cp:lastPrinted>2021-07-13T06:05:00Z</cp:lastPrinted>
  <dcterms:created xsi:type="dcterms:W3CDTF">2019-12-27T03:51:00Z</dcterms:created>
  <dcterms:modified xsi:type="dcterms:W3CDTF">2021-07-13T07:11:00Z</dcterms:modified>
</cp:coreProperties>
</file>